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640" w:type="dxa"/>
        <w:jc w:val="center"/>
        <w:tblInd w:w="0" w:type="dxa"/>
        <w:tblLayout w:type="fixed"/>
        <w:tblCellMar>
          <w:top w:w="0" w:type="dxa"/>
          <w:left w:w="108" w:type="dxa"/>
          <w:bottom w:w="0" w:type="dxa"/>
          <w:right w:w="108" w:type="dxa"/>
        </w:tblCellMar>
      </w:tblPr>
      <w:tblGrid>
        <w:gridCol w:w="734"/>
        <w:gridCol w:w="993"/>
        <w:gridCol w:w="708"/>
        <w:gridCol w:w="567"/>
        <w:gridCol w:w="851"/>
        <w:gridCol w:w="1134"/>
        <w:gridCol w:w="709"/>
        <w:gridCol w:w="850"/>
        <w:gridCol w:w="2094"/>
      </w:tblGrid>
      <w:tr>
        <w:tblPrEx>
          <w:tblLayout w:type="fixed"/>
          <w:tblCellMar>
            <w:top w:w="0" w:type="dxa"/>
            <w:left w:w="108" w:type="dxa"/>
            <w:bottom w:w="0" w:type="dxa"/>
            <w:right w:w="108" w:type="dxa"/>
          </w:tblCellMar>
        </w:tblPrEx>
        <w:trPr>
          <w:trHeight w:val="624" w:hRule="atLeast"/>
          <w:jc w:val="center"/>
        </w:trPr>
        <w:tc>
          <w:tcPr>
            <w:tcW w:w="73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姓名</w:t>
            </w:r>
          </w:p>
        </w:tc>
        <w:tc>
          <w:tcPr>
            <w:tcW w:w="99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张玉萍 </w:t>
            </w:r>
          </w:p>
        </w:tc>
        <w:tc>
          <w:tcPr>
            <w:tcW w:w="70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性别</w:t>
            </w:r>
          </w:p>
        </w:tc>
        <w:tc>
          <w:tcPr>
            <w:tcW w:w="56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 女</w:t>
            </w:r>
          </w:p>
        </w:tc>
        <w:tc>
          <w:tcPr>
            <w:tcW w:w="851"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出生</w:t>
            </w:r>
          </w:p>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年月</w:t>
            </w:r>
          </w:p>
        </w:tc>
        <w:tc>
          <w:tcPr>
            <w:tcW w:w="113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1971．2 </w:t>
            </w: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职称</w:t>
            </w: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副教授 </w:t>
            </w:r>
          </w:p>
        </w:tc>
        <w:tc>
          <w:tcPr>
            <w:tcW w:w="2094"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24"/>
                <w:szCs w:val="24"/>
              </w:rPr>
            </w:pPr>
            <w:r>
              <w:rPr>
                <w:rFonts w:ascii="宋体" w:hAnsi="宋体" w:eastAsia="宋体" w:cs="宋体"/>
                <w:b/>
                <w:bCs/>
                <w:color w:val="000000"/>
                <w:kern w:val="0"/>
                <w:sz w:val="24"/>
                <w:szCs w:val="24"/>
              </w:rPr>
              <w:drawing>
                <wp:inline distT="0" distB="0" distL="0" distR="0">
                  <wp:extent cx="904875" cy="1390650"/>
                  <wp:effectExtent l="19050" t="0" r="9525" b="0"/>
                  <wp:docPr id="1" name="图片 1" descr="J:\F盘内容\会议\律师\张玉萍照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盘内容\会议\律师\张玉萍照片.jpg"/>
                          <pic:cNvPicPr>
                            <a:picLocks noChangeAspect="1" noChangeArrowheads="1"/>
                          </pic:cNvPicPr>
                        </pic:nvPicPr>
                        <pic:blipFill>
                          <a:blip r:embed="rId4" cstate="print"/>
                          <a:srcRect/>
                          <a:stretch>
                            <a:fillRect/>
                          </a:stretch>
                        </pic:blipFill>
                        <pic:spPr>
                          <a:xfrm>
                            <a:off x="0" y="0"/>
                            <a:ext cx="904875" cy="1390650"/>
                          </a:xfrm>
                          <a:prstGeom prst="rect">
                            <a:avLst/>
                          </a:prstGeom>
                          <a:noFill/>
                          <a:ln w="9525">
                            <a:noFill/>
                            <a:miter lim="800000"/>
                            <a:headEnd/>
                            <a:tailEnd/>
                          </a:ln>
                        </pic:spPr>
                      </pic:pic>
                    </a:graphicData>
                  </a:graphic>
                </wp:inline>
              </w:drawing>
            </w:r>
            <w:r>
              <w:rPr>
                <w:rFonts w:hint="eastAsia" w:ascii="宋体" w:hAnsi="宋体" w:eastAsia="宋体" w:cs="宋体"/>
                <w:b/>
                <w:bCs/>
                <w:color w:val="000000"/>
                <w:kern w:val="0"/>
                <w:sz w:val="24"/>
                <w:szCs w:val="24"/>
              </w:rPr>
              <w:t>两寸彩色照片</w:t>
            </w:r>
          </w:p>
        </w:tc>
      </w:tr>
      <w:tr>
        <w:tblPrEx>
          <w:tblLayout w:type="fixed"/>
          <w:tblCellMar>
            <w:top w:w="0" w:type="dxa"/>
            <w:left w:w="108" w:type="dxa"/>
            <w:bottom w:w="0" w:type="dxa"/>
            <w:right w:w="108" w:type="dxa"/>
          </w:tblCellMar>
        </w:tblPrEx>
        <w:trPr>
          <w:trHeight w:val="624" w:hRule="atLeast"/>
          <w:jc w:val="center"/>
        </w:trPr>
        <w:tc>
          <w:tcPr>
            <w:tcW w:w="73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系别</w:t>
            </w:r>
          </w:p>
        </w:tc>
        <w:tc>
          <w:tcPr>
            <w:tcW w:w="3119" w:type="dxa"/>
            <w:gridSpan w:val="4"/>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 法学系</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政治</w:t>
            </w:r>
          </w:p>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面貌</w:t>
            </w:r>
          </w:p>
        </w:tc>
        <w:tc>
          <w:tcPr>
            <w:tcW w:w="1559" w:type="dxa"/>
            <w:gridSpan w:val="2"/>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 中共党员</w:t>
            </w:r>
          </w:p>
        </w:tc>
        <w:tc>
          <w:tcPr>
            <w:tcW w:w="209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b/>
                <w:bCs/>
                <w:color w:val="000000"/>
                <w:kern w:val="0"/>
                <w:sz w:val="24"/>
                <w:szCs w:val="24"/>
              </w:rPr>
            </w:pPr>
          </w:p>
        </w:tc>
      </w:tr>
      <w:tr>
        <w:tblPrEx>
          <w:tblLayout w:type="fixed"/>
          <w:tblCellMar>
            <w:top w:w="0" w:type="dxa"/>
            <w:left w:w="108" w:type="dxa"/>
            <w:bottom w:w="0" w:type="dxa"/>
            <w:right w:w="108" w:type="dxa"/>
          </w:tblCellMar>
        </w:tblPrEx>
        <w:trPr>
          <w:trHeight w:val="624" w:hRule="atLeast"/>
          <w:jc w:val="center"/>
        </w:trPr>
        <w:tc>
          <w:tcPr>
            <w:tcW w:w="172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学科方向</w:t>
            </w:r>
          </w:p>
        </w:tc>
        <w:tc>
          <w:tcPr>
            <w:tcW w:w="4819" w:type="dxa"/>
            <w:gridSpan w:val="6"/>
            <w:tcBorders>
              <w:top w:val="single" w:color="auto" w:sz="8" w:space="0"/>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color w:val="000000"/>
                <w:kern w:val="0"/>
                <w:sz w:val="24"/>
                <w:szCs w:val="24"/>
              </w:rPr>
            </w:pPr>
            <w:r>
              <w:rPr>
                <w:rFonts w:ascii="Calibri" w:hAnsi="Calibri" w:eastAsia="宋体" w:cs="Calibri"/>
                <w:b/>
                <w:bCs/>
                <w:color w:val="000000"/>
                <w:kern w:val="0"/>
                <w:sz w:val="24"/>
                <w:szCs w:val="24"/>
              </w:rPr>
              <w:t>　民商法</w:t>
            </w:r>
            <w:r>
              <w:rPr>
                <w:rFonts w:hint="eastAsia" w:ascii="Calibri" w:hAnsi="Calibri" w:eastAsia="宋体" w:cs="Calibri"/>
                <w:b/>
                <w:bCs/>
                <w:color w:val="000000"/>
                <w:kern w:val="0"/>
                <w:sz w:val="24"/>
                <w:szCs w:val="24"/>
              </w:rPr>
              <w:t>、</w:t>
            </w:r>
            <w:r>
              <w:rPr>
                <w:rFonts w:ascii="Calibri" w:hAnsi="Calibri" w:eastAsia="宋体" w:cs="Calibri"/>
                <w:b/>
                <w:bCs/>
                <w:color w:val="000000"/>
                <w:kern w:val="0"/>
                <w:sz w:val="24"/>
                <w:szCs w:val="24"/>
              </w:rPr>
              <w:t>诉讼法等</w:t>
            </w:r>
          </w:p>
        </w:tc>
        <w:tc>
          <w:tcPr>
            <w:tcW w:w="209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b/>
                <w:bCs/>
                <w:color w:val="000000"/>
                <w:kern w:val="0"/>
                <w:sz w:val="24"/>
                <w:szCs w:val="24"/>
              </w:rPr>
            </w:pPr>
          </w:p>
        </w:tc>
      </w:tr>
      <w:tr>
        <w:tblPrEx>
          <w:tblLayout w:type="fixed"/>
          <w:tblCellMar>
            <w:top w:w="0" w:type="dxa"/>
            <w:left w:w="108" w:type="dxa"/>
            <w:bottom w:w="0" w:type="dxa"/>
            <w:right w:w="108" w:type="dxa"/>
          </w:tblCellMar>
        </w:tblPrEx>
        <w:trPr>
          <w:trHeight w:val="624" w:hRule="atLeast"/>
          <w:jc w:val="center"/>
        </w:trPr>
        <w:tc>
          <w:tcPr>
            <w:tcW w:w="172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研究方向</w:t>
            </w:r>
          </w:p>
        </w:tc>
        <w:tc>
          <w:tcPr>
            <w:tcW w:w="4819" w:type="dxa"/>
            <w:gridSpan w:val="6"/>
            <w:tcBorders>
              <w:top w:val="single" w:color="auto" w:sz="8" w:space="0"/>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color w:val="000000"/>
                <w:kern w:val="0"/>
                <w:sz w:val="24"/>
                <w:szCs w:val="24"/>
              </w:rPr>
            </w:pPr>
            <w:r>
              <w:rPr>
                <w:rFonts w:ascii="Calibri" w:hAnsi="Calibri" w:eastAsia="宋体" w:cs="Calibri"/>
                <w:b/>
                <w:bCs/>
                <w:color w:val="000000"/>
                <w:kern w:val="0"/>
                <w:sz w:val="24"/>
                <w:szCs w:val="24"/>
              </w:rPr>
              <w:t>　婚姻法</w:t>
            </w:r>
            <w:r>
              <w:rPr>
                <w:rFonts w:hint="eastAsia" w:ascii="Calibri" w:hAnsi="Calibri" w:eastAsia="宋体" w:cs="Calibri"/>
                <w:b/>
                <w:bCs/>
                <w:color w:val="000000"/>
                <w:kern w:val="0"/>
                <w:sz w:val="24"/>
                <w:szCs w:val="24"/>
              </w:rPr>
              <w:t>、</w:t>
            </w:r>
            <w:r>
              <w:rPr>
                <w:rFonts w:ascii="Calibri" w:hAnsi="Calibri" w:eastAsia="宋体" w:cs="Calibri"/>
                <w:b/>
                <w:bCs/>
                <w:color w:val="000000"/>
                <w:kern w:val="0"/>
                <w:sz w:val="24"/>
                <w:szCs w:val="24"/>
              </w:rPr>
              <w:t>民事诉讼法等</w:t>
            </w:r>
          </w:p>
        </w:tc>
        <w:tc>
          <w:tcPr>
            <w:tcW w:w="209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b/>
                <w:bCs/>
                <w:color w:val="000000"/>
                <w:kern w:val="0"/>
                <w:sz w:val="24"/>
                <w:szCs w:val="24"/>
              </w:rPr>
            </w:pPr>
          </w:p>
        </w:tc>
      </w:tr>
      <w:tr>
        <w:tblPrEx>
          <w:tblLayout w:type="fixed"/>
          <w:tblCellMar>
            <w:top w:w="0" w:type="dxa"/>
            <w:left w:w="108" w:type="dxa"/>
            <w:bottom w:w="0" w:type="dxa"/>
            <w:right w:w="108" w:type="dxa"/>
          </w:tblCellMar>
        </w:tblPrEx>
        <w:trPr>
          <w:trHeight w:val="624" w:hRule="atLeast"/>
          <w:jc w:val="center"/>
        </w:trPr>
        <w:tc>
          <w:tcPr>
            <w:tcW w:w="172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学校任职</w:t>
            </w:r>
          </w:p>
        </w:tc>
        <w:tc>
          <w:tcPr>
            <w:tcW w:w="6913" w:type="dxa"/>
            <w:gridSpan w:val="7"/>
            <w:tcBorders>
              <w:top w:val="single" w:color="auto" w:sz="8" w:space="0"/>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color w:val="000000"/>
                <w:kern w:val="0"/>
                <w:sz w:val="24"/>
                <w:szCs w:val="24"/>
              </w:rPr>
            </w:pPr>
            <w:r>
              <w:rPr>
                <w:rFonts w:ascii="Calibri" w:hAnsi="Calibri" w:eastAsia="宋体" w:cs="Calibri"/>
                <w:b/>
                <w:bCs/>
                <w:color w:val="000000"/>
                <w:kern w:val="0"/>
                <w:sz w:val="24"/>
                <w:szCs w:val="24"/>
              </w:rPr>
              <w:t>　曾任淮海工学院法学院法学系副主任</w:t>
            </w:r>
            <w:r>
              <w:rPr>
                <w:rFonts w:hint="eastAsia" w:ascii="Calibri" w:hAnsi="Calibri" w:eastAsia="宋体" w:cs="Calibri"/>
                <w:b/>
                <w:bCs/>
                <w:color w:val="000000"/>
                <w:kern w:val="0"/>
                <w:sz w:val="24"/>
                <w:szCs w:val="24"/>
              </w:rPr>
              <w:t>、</w:t>
            </w:r>
            <w:r>
              <w:rPr>
                <w:rFonts w:ascii="Calibri" w:hAnsi="Calibri" w:eastAsia="宋体" w:cs="Calibri"/>
                <w:b/>
                <w:bCs/>
                <w:color w:val="000000"/>
                <w:kern w:val="0"/>
                <w:sz w:val="24"/>
                <w:szCs w:val="24"/>
              </w:rPr>
              <w:t>主任</w:t>
            </w:r>
          </w:p>
        </w:tc>
      </w:tr>
      <w:tr>
        <w:tblPrEx>
          <w:tblLayout w:type="fixed"/>
          <w:tblCellMar>
            <w:top w:w="0" w:type="dxa"/>
            <w:left w:w="108" w:type="dxa"/>
            <w:bottom w:w="0" w:type="dxa"/>
            <w:right w:w="108" w:type="dxa"/>
          </w:tblCellMar>
        </w:tblPrEx>
        <w:trPr>
          <w:trHeight w:val="624" w:hRule="atLeast"/>
          <w:jc w:val="center"/>
        </w:trPr>
        <w:tc>
          <w:tcPr>
            <w:tcW w:w="172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社会兼职</w:t>
            </w:r>
          </w:p>
        </w:tc>
        <w:tc>
          <w:tcPr>
            <w:tcW w:w="6913" w:type="dxa"/>
            <w:gridSpan w:val="7"/>
            <w:tcBorders>
              <w:top w:val="single" w:color="auto" w:sz="8" w:space="0"/>
              <w:left w:val="nil"/>
              <w:bottom w:val="single" w:color="auto" w:sz="8" w:space="0"/>
              <w:right w:val="single" w:color="auto" w:sz="8" w:space="0"/>
            </w:tcBorders>
            <w:shd w:val="clear" w:color="auto" w:fill="auto"/>
            <w:vAlign w:val="center"/>
          </w:tcPr>
          <w:p>
            <w:pPr>
              <w:widowControl/>
              <w:jc w:val="left"/>
              <w:rPr>
                <w:rFonts w:ascii="Calibri" w:hAnsi="Calibri" w:eastAsia="宋体" w:cs="Calibri"/>
                <w:bCs/>
                <w:color w:val="000000"/>
                <w:kern w:val="0"/>
                <w:sz w:val="24"/>
                <w:szCs w:val="24"/>
              </w:rPr>
            </w:pPr>
            <w:r>
              <w:rPr>
                <w:rFonts w:ascii="Calibri" w:hAnsi="Calibri" w:eastAsia="宋体" w:cs="Calibri"/>
                <w:b/>
                <w:bCs/>
                <w:color w:val="000000"/>
                <w:kern w:val="0"/>
                <w:sz w:val="24"/>
                <w:szCs w:val="24"/>
              </w:rPr>
              <w:t>　</w:t>
            </w:r>
            <w:r>
              <w:rPr>
                <w:rFonts w:hint="eastAsia" w:ascii="Calibri" w:hAnsi="Calibri" w:eastAsia="宋体" w:cs="Calibri"/>
                <w:bCs/>
                <w:color w:val="000000"/>
                <w:kern w:val="0"/>
                <w:sz w:val="24"/>
                <w:szCs w:val="24"/>
              </w:rPr>
              <w:t>中国法学会婚姻家庭研究会理事、中国民事诉讼法学研究会理事、江苏省金融法学与财税法学研究会常务理事、江苏省海洋经济研究中心特约研究员、江苏省法学教育研究会理事、连云港市法学会第三届学术委员会委员、连云港市法学会社区矫正法学研究会理事、连云港市归侨侨眷法律援助中心法律顾问、连云港市人民检察院专家咨询委员会委员、连云港市武警支队法律顾问、连云港仲裁委员会仲裁员、连云港市律师协会培训及业务指导工作委员会附主任、连云港市律师文化建设研究中心调研员、连云港市人民政府法律顾问、海州区法学会副会长等。江苏田湾（连云）律师事务所律师。</w:t>
            </w:r>
          </w:p>
        </w:tc>
      </w:tr>
      <w:tr>
        <w:tblPrEx>
          <w:tblLayout w:type="fixed"/>
          <w:tblCellMar>
            <w:top w:w="0" w:type="dxa"/>
            <w:left w:w="108" w:type="dxa"/>
            <w:bottom w:w="0" w:type="dxa"/>
            <w:right w:w="108" w:type="dxa"/>
          </w:tblCellMar>
        </w:tblPrEx>
        <w:trPr>
          <w:trHeight w:val="624" w:hRule="atLeast"/>
          <w:jc w:val="center"/>
        </w:trPr>
        <w:tc>
          <w:tcPr>
            <w:tcW w:w="8640" w:type="dxa"/>
            <w:gridSpan w:val="9"/>
            <w:tcBorders>
              <w:top w:val="single" w:color="auto" w:sz="8" w:space="0"/>
              <w:left w:val="single" w:color="auto" w:sz="8" w:space="0"/>
              <w:bottom w:val="nil"/>
              <w:right w:val="single" w:color="000000" w:sz="8" w:space="0"/>
            </w:tcBorders>
            <w:shd w:val="clear" w:color="auto" w:fill="auto"/>
          </w:tcPr>
          <w:p>
            <w:pPr>
              <w:widowControl/>
              <w:jc w:val="left"/>
              <w:rPr>
                <w:rFonts w:ascii="宋体" w:hAnsi="宋体" w:eastAsia="宋体" w:cs="宋体"/>
                <w:b/>
                <w:bCs/>
                <w:color w:val="000000"/>
                <w:kern w:val="0"/>
                <w:sz w:val="24"/>
                <w:szCs w:val="24"/>
              </w:rPr>
            </w:pPr>
          </w:p>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主讲课程：</w:t>
            </w:r>
          </w:p>
        </w:tc>
      </w:tr>
      <w:tr>
        <w:tblPrEx>
          <w:tblLayout w:type="fixed"/>
          <w:tblCellMar>
            <w:top w:w="0" w:type="dxa"/>
            <w:left w:w="108" w:type="dxa"/>
            <w:bottom w:w="0" w:type="dxa"/>
            <w:right w:w="108" w:type="dxa"/>
          </w:tblCellMar>
        </w:tblPrEx>
        <w:trPr>
          <w:trHeight w:val="624" w:hRule="atLeast"/>
          <w:jc w:val="center"/>
        </w:trPr>
        <w:tc>
          <w:tcPr>
            <w:tcW w:w="8640" w:type="dxa"/>
            <w:gridSpan w:val="9"/>
            <w:tcBorders>
              <w:top w:val="nil"/>
              <w:left w:val="single" w:color="auto" w:sz="8" w:space="0"/>
              <w:bottom w:val="nil"/>
              <w:right w:val="single" w:color="000000" w:sz="8" w:space="0"/>
            </w:tcBorders>
            <w:shd w:val="clear" w:color="auto" w:fill="auto"/>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p>
            <w:pPr>
              <w:widowControl/>
              <w:ind w:firstLine="480" w:firstLineChars="200"/>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婚姻继承法、民事诉讼法、仲裁法、证据法等课程。</w:t>
            </w:r>
          </w:p>
          <w:p>
            <w:pPr>
              <w:widowControl/>
              <w:ind w:firstLine="480" w:firstLineChars="200"/>
              <w:jc w:val="left"/>
              <w:rPr>
                <w:rFonts w:ascii="宋体" w:hAnsi="宋体" w:eastAsia="宋体" w:cs="宋体"/>
                <w:bCs/>
                <w:color w:val="000000"/>
                <w:kern w:val="0"/>
                <w:sz w:val="24"/>
                <w:szCs w:val="24"/>
              </w:rPr>
            </w:pPr>
          </w:p>
        </w:tc>
      </w:tr>
      <w:tr>
        <w:tblPrEx>
          <w:tblLayout w:type="fixed"/>
          <w:tblCellMar>
            <w:top w:w="0" w:type="dxa"/>
            <w:left w:w="108" w:type="dxa"/>
            <w:bottom w:w="0" w:type="dxa"/>
            <w:right w:w="108" w:type="dxa"/>
          </w:tblCellMar>
        </w:tblPrEx>
        <w:trPr>
          <w:trHeight w:val="624" w:hRule="atLeast"/>
          <w:jc w:val="center"/>
        </w:trPr>
        <w:tc>
          <w:tcPr>
            <w:tcW w:w="8640" w:type="dxa"/>
            <w:gridSpan w:val="9"/>
            <w:tcBorders>
              <w:top w:val="nil"/>
              <w:left w:val="single" w:color="auto" w:sz="8" w:space="0"/>
              <w:bottom w:val="nil"/>
              <w:right w:val="single" w:color="000000" w:sz="8" w:space="0"/>
            </w:tcBorders>
            <w:shd w:val="clear" w:color="auto" w:fill="auto"/>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教育经历： </w:t>
            </w:r>
          </w:p>
        </w:tc>
      </w:tr>
      <w:tr>
        <w:tblPrEx>
          <w:tblLayout w:type="fixed"/>
          <w:tblCellMar>
            <w:top w:w="0" w:type="dxa"/>
            <w:left w:w="108" w:type="dxa"/>
            <w:bottom w:w="0" w:type="dxa"/>
            <w:right w:w="108" w:type="dxa"/>
          </w:tblCellMar>
        </w:tblPrEx>
        <w:trPr>
          <w:trHeight w:val="624" w:hRule="atLeast"/>
          <w:jc w:val="center"/>
        </w:trPr>
        <w:tc>
          <w:tcPr>
            <w:tcW w:w="8640" w:type="dxa"/>
            <w:gridSpan w:val="9"/>
            <w:tcBorders>
              <w:top w:val="nil"/>
              <w:left w:val="single" w:color="auto" w:sz="8" w:space="0"/>
              <w:bottom w:val="nil"/>
              <w:right w:val="single" w:color="000000" w:sz="8" w:space="0"/>
            </w:tcBorders>
            <w:shd w:val="clear" w:color="auto" w:fill="auto"/>
          </w:tcPr>
          <w:p>
            <w:pPr>
              <w:widowControl/>
              <w:ind w:firstLine="480" w:firstLineChars="200"/>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1991年至1995年兰州大学法律系学习，2006年获得南京师范大学法学硕士学位。2006年11月参加教育部人事司和高等教育司联合举办的侵权法前沿和热点问题高级研修班学习；2008年11月，参加由江苏省教育厅举办的高校法学方法与部门法研究中心青年骨干教师研修班学习；2009年12月，在江苏省委党校第15期江苏省哲学社会科学教学骨干研修班学习；2017年9月参加“马工程”重点教材集中培训。</w:t>
            </w:r>
          </w:p>
        </w:tc>
      </w:tr>
      <w:tr>
        <w:tblPrEx>
          <w:tblLayout w:type="fixed"/>
          <w:tblCellMar>
            <w:top w:w="0" w:type="dxa"/>
            <w:left w:w="108" w:type="dxa"/>
            <w:bottom w:w="0" w:type="dxa"/>
            <w:right w:w="108" w:type="dxa"/>
          </w:tblCellMar>
        </w:tblPrEx>
        <w:trPr>
          <w:trHeight w:val="624" w:hRule="atLeast"/>
          <w:jc w:val="center"/>
        </w:trPr>
        <w:tc>
          <w:tcPr>
            <w:tcW w:w="8640" w:type="dxa"/>
            <w:gridSpan w:val="9"/>
            <w:tcBorders>
              <w:top w:val="nil"/>
              <w:left w:val="single" w:color="auto" w:sz="8" w:space="0"/>
              <w:bottom w:val="nil"/>
              <w:right w:val="single" w:color="000000" w:sz="8" w:space="0"/>
            </w:tcBorders>
            <w:shd w:val="clear" w:color="auto" w:fill="auto"/>
          </w:tcPr>
          <w:p>
            <w:pPr>
              <w:widowControl/>
              <w:jc w:val="left"/>
              <w:rPr>
                <w:rFonts w:ascii="宋体" w:hAnsi="宋体" w:eastAsia="宋体" w:cs="宋体"/>
                <w:b/>
                <w:bCs/>
                <w:color w:val="000000"/>
                <w:kern w:val="0"/>
                <w:sz w:val="24"/>
                <w:szCs w:val="24"/>
              </w:rPr>
            </w:pPr>
          </w:p>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代表论文：</w:t>
            </w:r>
          </w:p>
        </w:tc>
      </w:tr>
      <w:tr>
        <w:tblPrEx>
          <w:tblLayout w:type="fixed"/>
          <w:tblCellMar>
            <w:top w:w="0" w:type="dxa"/>
            <w:left w:w="108" w:type="dxa"/>
            <w:bottom w:w="0" w:type="dxa"/>
            <w:right w:w="108" w:type="dxa"/>
          </w:tblCellMar>
        </w:tblPrEx>
        <w:trPr>
          <w:trHeight w:val="624" w:hRule="atLeast"/>
          <w:jc w:val="center"/>
        </w:trPr>
        <w:tc>
          <w:tcPr>
            <w:tcW w:w="8640" w:type="dxa"/>
            <w:gridSpan w:val="9"/>
            <w:tcBorders>
              <w:top w:val="nil"/>
              <w:left w:val="single" w:color="auto" w:sz="8" w:space="0"/>
              <w:bottom w:val="nil"/>
              <w:right w:val="single" w:color="000000" w:sz="8" w:space="0"/>
            </w:tcBorders>
            <w:shd w:val="clear" w:color="auto" w:fill="auto"/>
          </w:tcPr>
          <w:p>
            <w:pPr>
              <w:widowControl/>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　  出版法学著作（合著）《婚姻过错论》，获得江苏省第11届哲学社会科学优秀成果三等奖；出版法学著作（合著）《离婚自由论》，获得江苏省第12届哲学社会科学优秀成果三等奖。参编《社区矫正行为导航》被评为司法部司法行政干部业务培训优秀教材。主编淮海工学院规划教材《婚姻法教程》。</w:t>
            </w:r>
          </w:p>
          <w:p>
            <w:pPr>
              <w:widowControl/>
              <w:ind w:firstLine="480" w:firstLineChars="200"/>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获奖论文：《论民间法在多元社会矛盾化解机制中的地位和作用》2015年法治江苏建设高层论坛优秀论文三等奖；</w:t>
            </w:r>
            <w:r>
              <w:rPr>
                <w:rFonts w:hint="eastAsia" w:ascii="宋体" w:hAnsi="宋体" w:cs="宋体"/>
                <w:color w:val="000000"/>
                <w:kern w:val="0"/>
                <w:sz w:val="24"/>
                <w:szCs w:val="24"/>
              </w:rPr>
              <w:t>《对矫正对象分阶段教育的综合研究》获得2006年度江苏省社区矫正理论研究优秀论文一等奖；《未成年犯社区矫正的内容与方法之探析》获得2007年度江苏省社区矫正理论研究成果二等奖；《海域使用权抵押担保中的侵权与救济》获得第二届“服务江苏沿海开发检察论坛”论文一等奖。</w:t>
            </w:r>
          </w:p>
          <w:p>
            <w:pPr>
              <w:widowControl/>
              <w:ind w:firstLine="480" w:firstLineChars="200"/>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发表论文：《关于法定疾病的结婚禁止的反思与矫正》《我国现阶段离婚案件冲突焦点初探》（2015年连云港市法学研究重点课题论文二等奖）。</w:t>
            </w:r>
          </w:p>
        </w:tc>
      </w:tr>
      <w:tr>
        <w:tblPrEx>
          <w:tblLayout w:type="fixed"/>
          <w:tblCellMar>
            <w:top w:w="0" w:type="dxa"/>
            <w:left w:w="108" w:type="dxa"/>
            <w:bottom w:w="0" w:type="dxa"/>
            <w:right w:w="108" w:type="dxa"/>
          </w:tblCellMar>
        </w:tblPrEx>
        <w:trPr>
          <w:trHeight w:val="624" w:hRule="atLeast"/>
          <w:jc w:val="center"/>
        </w:trPr>
        <w:tc>
          <w:tcPr>
            <w:tcW w:w="8640" w:type="dxa"/>
            <w:gridSpan w:val="9"/>
            <w:tcBorders>
              <w:top w:val="nil"/>
              <w:left w:val="single" w:color="auto" w:sz="8" w:space="0"/>
              <w:bottom w:val="nil"/>
              <w:right w:val="single" w:color="000000" w:sz="8" w:space="0"/>
            </w:tcBorders>
            <w:shd w:val="clear" w:color="auto" w:fill="auto"/>
          </w:tcPr>
          <w:p>
            <w:pPr>
              <w:widowControl/>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　  即将出版法学著作：《结婚禁止论》；即将发表论文：《论买卖、包办结婚的认定适用》《论早婚的结婚禁止》《关于我国现行婚姻法完善的初步思考》等。</w:t>
            </w:r>
          </w:p>
        </w:tc>
      </w:tr>
      <w:tr>
        <w:tblPrEx>
          <w:tblLayout w:type="fixed"/>
          <w:tblCellMar>
            <w:top w:w="0" w:type="dxa"/>
            <w:left w:w="108" w:type="dxa"/>
            <w:bottom w:w="0" w:type="dxa"/>
            <w:right w:w="108" w:type="dxa"/>
          </w:tblCellMar>
        </w:tblPrEx>
        <w:trPr>
          <w:trHeight w:val="624" w:hRule="atLeast"/>
          <w:jc w:val="center"/>
        </w:trPr>
        <w:tc>
          <w:tcPr>
            <w:tcW w:w="8640" w:type="dxa"/>
            <w:gridSpan w:val="9"/>
            <w:tcBorders>
              <w:top w:val="nil"/>
              <w:left w:val="single" w:color="auto" w:sz="8" w:space="0"/>
              <w:bottom w:val="nil"/>
              <w:right w:val="single" w:color="000000" w:sz="8" w:space="0"/>
            </w:tcBorders>
            <w:shd w:val="clear" w:color="auto" w:fill="auto"/>
          </w:tcPr>
          <w:p>
            <w:pPr>
              <w:widowControl/>
              <w:jc w:val="left"/>
              <w:rPr>
                <w:rFonts w:ascii="宋体" w:hAnsi="宋体" w:eastAsia="宋体" w:cs="宋体"/>
                <w:b/>
                <w:bCs/>
                <w:color w:val="000000"/>
                <w:kern w:val="0"/>
                <w:sz w:val="24"/>
                <w:szCs w:val="24"/>
              </w:rPr>
            </w:pPr>
          </w:p>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主持项目：</w:t>
            </w:r>
          </w:p>
        </w:tc>
      </w:tr>
      <w:tr>
        <w:tblPrEx>
          <w:tblLayout w:type="fixed"/>
          <w:tblCellMar>
            <w:top w:w="0" w:type="dxa"/>
            <w:left w:w="108" w:type="dxa"/>
            <w:bottom w:w="0" w:type="dxa"/>
            <w:right w:w="108" w:type="dxa"/>
          </w:tblCellMar>
        </w:tblPrEx>
        <w:trPr>
          <w:trHeight w:val="624" w:hRule="atLeast"/>
          <w:jc w:val="center"/>
        </w:trPr>
        <w:tc>
          <w:tcPr>
            <w:tcW w:w="8640" w:type="dxa"/>
            <w:gridSpan w:val="9"/>
            <w:tcBorders>
              <w:top w:val="nil"/>
              <w:left w:val="single" w:color="auto" w:sz="8" w:space="0"/>
              <w:bottom w:val="nil"/>
              <w:right w:val="single" w:color="000000" w:sz="8" w:space="0"/>
            </w:tcBorders>
            <w:shd w:val="clear" w:color="auto" w:fill="auto"/>
          </w:tcPr>
          <w:p>
            <w:pPr>
              <w:widowControl/>
              <w:jc w:val="left"/>
              <w:rPr>
                <w:rFonts w:ascii="宋体" w:hAnsi="宋体" w:eastAsia="宋体" w:cs="宋体"/>
                <w:bCs/>
                <w:color w:val="000000"/>
                <w:kern w:val="0"/>
                <w:sz w:val="24"/>
                <w:szCs w:val="24"/>
              </w:rPr>
            </w:pPr>
          </w:p>
          <w:p>
            <w:pPr>
              <w:widowControl/>
              <w:ind w:firstLine="480" w:firstLineChars="200"/>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主持连云港市社科基金项目、连云港市法学会重点研究课题、淮海工学院人文社会科学创新基金项目；指导淮海工学院大学生创新项目等；</w:t>
            </w:r>
            <w:r>
              <w:rPr>
                <w:rFonts w:hint="eastAsia" w:ascii="宋体" w:hAnsi="宋体" w:cs="宋体"/>
                <w:color w:val="000000"/>
                <w:kern w:val="0"/>
                <w:sz w:val="24"/>
                <w:szCs w:val="24"/>
              </w:rPr>
              <w:t>参与江苏省科技厅软科学项目及参与国家海洋局海洋公益性行业科研专项经费项目等。</w:t>
            </w:r>
          </w:p>
        </w:tc>
      </w:tr>
      <w:tr>
        <w:tblPrEx>
          <w:tblLayout w:type="fixed"/>
          <w:tblCellMar>
            <w:top w:w="0" w:type="dxa"/>
            <w:left w:w="108" w:type="dxa"/>
            <w:bottom w:w="0" w:type="dxa"/>
            <w:right w:w="108" w:type="dxa"/>
          </w:tblCellMar>
        </w:tblPrEx>
        <w:trPr>
          <w:trHeight w:val="624" w:hRule="atLeast"/>
          <w:jc w:val="center"/>
        </w:trPr>
        <w:tc>
          <w:tcPr>
            <w:tcW w:w="8640" w:type="dxa"/>
            <w:gridSpan w:val="9"/>
            <w:tcBorders>
              <w:top w:val="nil"/>
              <w:left w:val="single" w:color="auto" w:sz="8" w:space="0"/>
              <w:bottom w:val="nil"/>
              <w:right w:val="single" w:color="000000" w:sz="8" w:space="0"/>
            </w:tcBorders>
            <w:shd w:val="clear" w:color="auto" w:fill="auto"/>
          </w:tcPr>
          <w:p>
            <w:pPr>
              <w:widowControl/>
              <w:jc w:val="left"/>
              <w:rPr>
                <w:rFonts w:ascii="宋体" w:hAnsi="宋体" w:eastAsia="宋体" w:cs="宋体"/>
                <w:b/>
                <w:bCs/>
                <w:color w:val="000000"/>
                <w:kern w:val="0"/>
                <w:sz w:val="24"/>
                <w:szCs w:val="24"/>
              </w:rPr>
            </w:pPr>
          </w:p>
        </w:tc>
      </w:tr>
      <w:tr>
        <w:tblPrEx>
          <w:tblLayout w:type="fixed"/>
          <w:tblCellMar>
            <w:top w:w="0" w:type="dxa"/>
            <w:left w:w="108" w:type="dxa"/>
            <w:bottom w:w="0" w:type="dxa"/>
            <w:right w:w="108" w:type="dxa"/>
          </w:tblCellMar>
        </w:tblPrEx>
        <w:trPr>
          <w:trHeight w:val="624" w:hRule="atLeast"/>
          <w:jc w:val="center"/>
        </w:trPr>
        <w:tc>
          <w:tcPr>
            <w:tcW w:w="8640" w:type="dxa"/>
            <w:gridSpan w:val="9"/>
            <w:tcBorders>
              <w:top w:val="nil"/>
              <w:left w:val="single" w:color="auto" w:sz="8" w:space="0"/>
              <w:bottom w:val="nil"/>
              <w:right w:val="single" w:color="000000" w:sz="8" w:space="0"/>
            </w:tcBorders>
            <w:shd w:val="clear" w:color="auto" w:fill="auto"/>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评优获奖：</w:t>
            </w:r>
          </w:p>
        </w:tc>
      </w:tr>
      <w:tr>
        <w:tblPrEx>
          <w:tblLayout w:type="fixed"/>
          <w:tblCellMar>
            <w:top w:w="0" w:type="dxa"/>
            <w:left w:w="108" w:type="dxa"/>
            <w:bottom w:w="0" w:type="dxa"/>
            <w:right w:w="108" w:type="dxa"/>
          </w:tblCellMar>
        </w:tblPrEx>
        <w:trPr>
          <w:trHeight w:val="624" w:hRule="atLeast"/>
          <w:jc w:val="center"/>
        </w:trPr>
        <w:tc>
          <w:tcPr>
            <w:tcW w:w="8640" w:type="dxa"/>
            <w:gridSpan w:val="9"/>
            <w:tcBorders>
              <w:top w:val="nil"/>
              <w:left w:val="single" w:color="auto" w:sz="8" w:space="0"/>
              <w:bottom w:val="nil"/>
              <w:right w:val="single" w:color="000000" w:sz="8" w:space="0"/>
            </w:tcBorders>
            <w:shd w:val="clear" w:color="auto" w:fill="auto"/>
          </w:tcPr>
          <w:p>
            <w:pPr>
              <w:widowControl/>
              <w:ind w:firstLine="480" w:firstLineChars="200"/>
              <w:jc w:val="left"/>
              <w:rPr>
                <w:rFonts w:ascii="宋体" w:hAnsi="宋体" w:cs="宋体"/>
                <w:color w:val="000000"/>
                <w:kern w:val="0"/>
                <w:sz w:val="24"/>
                <w:szCs w:val="24"/>
              </w:rPr>
            </w:pPr>
            <w:r>
              <w:rPr>
                <w:rFonts w:hint="eastAsia" w:ascii="宋体" w:hAnsi="宋体" w:eastAsia="宋体" w:cs="宋体"/>
                <w:bCs/>
                <w:color w:val="000000"/>
                <w:kern w:val="0"/>
                <w:sz w:val="24"/>
                <w:szCs w:val="24"/>
              </w:rPr>
              <w:t>成果曾被评为：江苏省第11届哲学社会科学优秀成果三等奖、江苏省第12届哲学社会科学优秀成果三等奖、司法部司法行政干部业务培训优秀教材、2015年法治江苏建设高层论坛优秀论文三等奖、</w:t>
            </w:r>
            <w:r>
              <w:rPr>
                <w:rFonts w:hint="eastAsia" w:ascii="宋体" w:hAnsi="宋体" w:cs="宋体"/>
                <w:color w:val="000000"/>
                <w:kern w:val="0"/>
                <w:sz w:val="24"/>
                <w:szCs w:val="24"/>
              </w:rPr>
              <w:t>2006年度江苏省社区矫正理论研究优秀论文一等奖、2007年度江苏省社区矫正理论研究成果二等奖、第二届“服务江苏沿海开发检察论坛”论文一等奖。</w:t>
            </w:r>
          </w:p>
          <w:p>
            <w:pPr>
              <w:widowControl/>
              <w:ind w:firstLine="480" w:firstLineChars="200"/>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曾获得“江苏省优秀法学研究工作者”、“江苏省‘六•五普法</w:t>
            </w:r>
            <w:r>
              <w:rPr>
                <w:rFonts w:ascii="宋体" w:hAnsi="宋体" w:eastAsia="宋体" w:cs="宋体"/>
                <w:bCs/>
                <w:color w:val="000000"/>
                <w:kern w:val="0"/>
                <w:sz w:val="24"/>
                <w:szCs w:val="24"/>
              </w:rPr>
              <w:t>’</w:t>
            </w:r>
            <w:r>
              <w:rPr>
                <w:rFonts w:hint="eastAsia" w:ascii="宋体" w:hAnsi="宋体" w:eastAsia="宋体" w:cs="宋体"/>
                <w:bCs/>
                <w:color w:val="000000"/>
                <w:kern w:val="0"/>
                <w:sz w:val="24"/>
                <w:szCs w:val="24"/>
              </w:rPr>
              <w:t>先进个人”、“江苏省法律援助志愿服务活动优秀指导老师”、“江苏省大中学生社会实践活动先进工作者”、“江苏普法达人入围奖”</w:t>
            </w:r>
            <w:r>
              <w:rPr>
                <w:rFonts w:hint="eastAsia" w:ascii="宋体" w:hAnsi="宋体" w:eastAsia="宋体" w:cs="宋体"/>
                <w:b/>
                <w:bCs w:val="0"/>
                <w:color w:val="000000"/>
                <w:kern w:val="0"/>
                <w:sz w:val="24"/>
                <w:szCs w:val="24"/>
              </w:rPr>
              <w:t>、</w:t>
            </w:r>
            <w:r>
              <w:rPr>
                <w:rFonts w:hint="eastAsia" w:ascii="宋体" w:hAnsi="宋体" w:eastAsia="宋体" w:cs="宋体"/>
                <w:b/>
                <w:bCs w:val="0"/>
                <w:color w:val="000000"/>
                <w:kern w:val="0"/>
                <w:sz w:val="24"/>
                <w:szCs w:val="24"/>
                <w:lang w:eastAsia="zh-CN"/>
              </w:rPr>
              <w:t>“连云港市法律援助十佳公益律师”、</w:t>
            </w:r>
            <w:r>
              <w:rPr>
                <w:rFonts w:hint="eastAsia" w:ascii="宋体" w:hAnsi="宋体" w:eastAsia="宋体" w:cs="宋体"/>
                <w:bCs/>
                <w:color w:val="000000"/>
                <w:kern w:val="0"/>
                <w:sz w:val="24"/>
                <w:szCs w:val="24"/>
              </w:rPr>
              <w:t>“连云港市教育系统 ‘五一巾帼</w:t>
            </w:r>
            <w:bookmarkStart w:id="0" w:name="_GoBack"/>
            <w:bookmarkEnd w:id="0"/>
            <w:r>
              <w:rPr>
                <w:rFonts w:hint="eastAsia" w:ascii="宋体" w:hAnsi="宋体" w:eastAsia="宋体" w:cs="宋体"/>
                <w:bCs/>
                <w:color w:val="000000"/>
                <w:kern w:val="0"/>
                <w:sz w:val="24"/>
                <w:szCs w:val="24"/>
              </w:rPr>
              <w:t>标兵’”、“连云港市大中专院校暑期社会实践优秀指导教师”、“连云港市法律援助先进个人”、“连云港市‘四•五普法’先进个人”、“连云港市‘四•五普法’普法中期先进个人”、“连云港市优秀法制教育工作者”、“连云港市大中小学生模拟法庭大赛优秀指导老师”、“连云港市十大普法达人”、“连云港市‘六•五普法’普法中期先进个人”、“连云港市优秀律师”、淮海工学院第四届青年教师授课比赛三等奖、淮海工学院2012年校级优秀教学成果一等奖、淮海工学院大学生创业计划竞赛“优秀指导老师”、田湾律师事务所二〇一三年度田湾讲坛“优秀主讲人”一等奖等。</w:t>
            </w:r>
          </w:p>
          <w:p>
            <w:pPr>
              <w:widowControl/>
              <w:jc w:val="left"/>
              <w:rPr>
                <w:rFonts w:ascii="宋体" w:hAnsi="宋体" w:eastAsia="宋体" w:cs="宋体"/>
                <w:bCs/>
                <w:color w:val="000000"/>
                <w:kern w:val="0"/>
                <w:sz w:val="24"/>
                <w:szCs w:val="24"/>
              </w:rPr>
            </w:pPr>
          </w:p>
        </w:tc>
      </w:tr>
      <w:tr>
        <w:tblPrEx>
          <w:tblLayout w:type="fixed"/>
          <w:tblCellMar>
            <w:top w:w="0" w:type="dxa"/>
            <w:left w:w="108" w:type="dxa"/>
            <w:bottom w:w="0" w:type="dxa"/>
            <w:right w:w="108" w:type="dxa"/>
          </w:tblCellMar>
        </w:tblPrEx>
        <w:trPr>
          <w:trHeight w:val="624" w:hRule="atLeast"/>
          <w:jc w:val="center"/>
        </w:trPr>
        <w:tc>
          <w:tcPr>
            <w:tcW w:w="8640" w:type="dxa"/>
            <w:gridSpan w:val="9"/>
            <w:tcBorders>
              <w:top w:val="nil"/>
              <w:left w:val="single" w:color="auto" w:sz="8" w:space="0"/>
              <w:bottom w:val="single" w:color="auto" w:sz="8" w:space="0"/>
              <w:right w:val="single" w:color="000000" w:sz="8" w:space="0"/>
            </w:tcBorders>
            <w:shd w:val="clear" w:color="auto" w:fill="auto"/>
          </w:tcPr>
          <w:p>
            <w:pPr>
              <w:widowControl/>
              <w:jc w:val="left"/>
              <w:rPr>
                <w:rFonts w:ascii="宋体" w:hAnsi="宋体" w:eastAsia="宋体" w:cs="宋体"/>
                <w:bCs/>
                <w:color w:val="000000"/>
                <w:kern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81631"/>
    <w:rsid w:val="00087C47"/>
    <w:rsid w:val="00133CA7"/>
    <w:rsid w:val="0014747A"/>
    <w:rsid w:val="0015194F"/>
    <w:rsid w:val="0016360E"/>
    <w:rsid w:val="00185656"/>
    <w:rsid w:val="0018651C"/>
    <w:rsid w:val="001E03F3"/>
    <w:rsid w:val="0022424E"/>
    <w:rsid w:val="002D2E98"/>
    <w:rsid w:val="00313F65"/>
    <w:rsid w:val="00395125"/>
    <w:rsid w:val="003A458C"/>
    <w:rsid w:val="00406C01"/>
    <w:rsid w:val="00581631"/>
    <w:rsid w:val="00595856"/>
    <w:rsid w:val="005B0F57"/>
    <w:rsid w:val="00691D51"/>
    <w:rsid w:val="006E7628"/>
    <w:rsid w:val="00804BEF"/>
    <w:rsid w:val="008442A3"/>
    <w:rsid w:val="008737AA"/>
    <w:rsid w:val="009D74B6"/>
    <w:rsid w:val="00A67B06"/>
    <w:rsid w:val="00A805AD"/>
    <w:rsid w:val="00A81539"/>
    <w:rsid w:val="00BF0F2D"/>
    <w:rsid w:val="00C5107B"/>
    <w:rsid w:val="00C819EA"/>
    <w:rsid w:val="00D10C1A"/>
    <w:rsid w:val="00DE252B"/>
    <w:rsid w:val="00E274EC"/>
    <w:rsid w:val="00E6074F"/>
    <w:rsid w:val="00EC1361"/>
    <w:rsid w:val="00ED2EB4"/>
    <w:rsid w:val="00F12131"/>
    <w:rsid w:val="00FC5F67"/>
    <w:rsid w:val="00FD55E0"/>
    <w:rsid w:val="00FF71E5"/>
    <w:rsid w:val="15296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263</Words>
  <Characters>1505</Characters>
  <Lines>12</Lines>
  <Paragraphs>3</Paragraphs>
  <TotalTime>1</TotalTime>
  <ScaleCrop>false</ScaleCrop>
  <LinksUpToDate>false</LinksUpToDate>
  <CharactersWithSpaces>1765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2019-03-24T23:01:00Z</dcterms:created>
  <dc:creator>lenovo</dc:creator>
  <cp:lastModifiedBy>hg</cp:lastModifiedBy>
  <dcterms:modified xsi:type="dcterms:W3CDTF">2019-03-25T02:58:04Z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