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92"/>
        <w:gridCol w:w="861"/>
        <w:gridCol w:w="653"/>
        <w:gridCol w:w="705"/>
        <w:gridCol w:w="990"/>
        <w:gridCol w:w="797"/>
        <w:gridCol w:w="103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吴军英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1971、11</w:t>
            </w:r>
          </w:p>
        </w:tc>
        <w:tc>
          <w:tcPr>
            <w:tcW w:w="80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职称职位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副教授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99160" cy="1258570"/>
                  <wp:effectExtent l="0" t="0" r="0" b="6350"/>
                  <wp:docPr id="1" name="图片 1" descr="5102151971112971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10215197111297124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楷体" w:hAnsi="楷体" w:eastAsia="楷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中国现当代作家作品研究</w:t>
            </w:r>
          </w:p>
        </w:tc>
        <w:tc>
          <w:tcPr>
            <w:tcW w:w="16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  <w:p>
            <w:pPr>
              <w:rPr>
                <w:rFonts w:hint="default" w:ascii="楷体_GB2312" w:hAnsi="宋体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文学硕士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最终专业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中国现当代文学</w:t>
            </w:r>
          </w:p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个人邮箱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wujunying5566@163.com</w:t>
            </w:r>
          </w:p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635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楷体" w:hAnsi="楷体" w:eastAsia="黑体" w:cs="Calibri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江苏海洋大学文法学院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7635" w:type="dxa"/>
            <w:gridSpan w:val="8"/>
            <w:vAlign w:val="center"/>
          </w:tcPr>
          <w:p>
            <w:pPr>
              <w:widowControl/>
              <w:jc w:val="center"/>
              <w:rPr>
                <w:rFonts w:ascii="楷体" w:hAnsi="楷体" w:eastAsia="楷体" w:cs="Calibri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8" w:hRule="atLeast"/>
        </w:trPr>
        <w:tc>
          <w:tcPr>
            <w:tcW w:w="8452" w:type="dxa"/>
            <w:gridSpan w:val="9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主讲课程：</w:t>
            </w:r>
          </w:p>
          <w:p>
            <w:pPr>
              <w:widowControl/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  <w:t>中国现当代作家作品研究、京派海派小说研究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教育经历：</w:t>
            </w:r>
          </w:p>
          <w:p>
            <w:pPr>
              <w:widowControl/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  <w:t>1989．9——1993．7  西南师范大学中文系攻读本科</w:t>
            </w:r>
          </w:p>
          <w:p>
            <w:pPr>
              <w:widowControl/>
              <w:ind w:firstLine="210" w:firstLineChars="100"/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  <w:t>1993．9——1996．6  西南师范大学中文系攻读硕士研究生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  <w:p>
            <w:pPr>
              <w:widowControl/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  <w:t>张晓风散文论，当代文坛，2002.</w:t>
            </w:r>
          </w:p>
          <w:p>
            <w:pPr>
              <w:widowControl/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  <w:t>佛光映照下的许地山散文——再论《空山灵雨》，名作欣赏，2005.</w:t>
            </w:r>
          </w:p>
          <w:p>
            <w:pPr>
              <w:widowControl/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  <w:t>象征诗艺与民族寓言——论师陀的《果园城记》，温州大学学报（社会科学版），2013</w:t>
            </w:r>
          </w:p>
          <w:p>
            <w:pPr>
              <w:widowControl/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  <w:t>互文视角下的“闺阁女性”书写——论《绣枕》与《桃红》，成都大学学报，2017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  <w:p>
            <w:pPr>
              <w:widowControl/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  <w:t>京、海派作家研究，江苏省教育厅高校哲学社会科学基金项目（指导性项目）</w:t>
            </w:r>
          </w:p>
          <w:p>
            <w:pPr>
              <w:widowControl/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21"/>
                <w:lang w:val="en-US" w:eastAsia="zh-CN"/>
              </w:rPr>
              <w:t>对峙与互渗——左翼文学、京海派文学研究，江苏省教育厅高校哲学社会科学基金项目（指导性项目）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评优获奖：</w:t>
            </w:r>
          </w:p>
          <w:p>
            <w:pPr>
              <w:widowControl/>
              <w:spacing w:line="360" w:lineRule="exact"/>
              <w:ind w:firstLine="482" w:firstLineChars="2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江苏海洋大学</w:t>
      </w:r>
      <w:r>
        <w:rPr>
          <w:rFonts w:hint="eastAsia" w:ascii="黑体" w:hAnsi="黑体" w:eastAsia="黑体"/>
          <w:b/>
          <w:sz w:val="36"/>
          <w:szCs w:val="36"/>
        </w:rPr>
        <w:t>汉语言文学硕士导师简介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F90"/>
    <w:rsid w:val="001D3DEB"/>
    <w:rsid w:val="001F4375"/>
    <w:rsid w:val="0046058E"/>
    <w:rsid w:val="008858EA"/>
    <w:rsid w:val="00A673DA"/>
    <w:rsid w:val="00BE2F90"/>
    <w:rsid w:val="00D006A5"/>
    <w:rsid w:val="0D6A2002"/>
    <w:rsid w:val="209C0CDF"/>
    <w:rsid w:val="7D140A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2020-09-28T00:44:00Z</dcterms:created>
  <dc:creator>YJ</dc:creator>
  <cp:lastModifiedBy>lenovo</cp:lastModifiedBy>
  <dcterms:modified xsi:type="dcterms:W3CDTF">2021-03-15T10:01:23Z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